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8A48CD" w:rsidP="002179B6">
          <w:pPr>
            <w:pStyle w:val="Meno"/>
            <w:rPr>
              <w:b/>
            </w:rPr>
          </w:pPr>
          <w:r>
            <w:rPr>
              <w:b/>
            </w:rPr>
            <w:t>AUTEX M6</w:t>
          </w:r>
          <w:r w:rsidR="00784C94">
            <w:rPr>
              <w:b/>
            </w:rPr>
            <w:t>AD</w:t>
          </w:r>
          <w:r>
            <w:rPr>
              <w:b/>
            </w:rPr>
            <w:t>S II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C728C1" w:rsidRDefault="008A48CD" w:rsidP="005C7B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M6ADS II </w:t>
            </w:r>
            <w:r w:rsidR="00C728C1" w:rsidRPr="00C728C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E1791">
              <w:t>je j</w:t>
            </w:r>
            <w:r w:rsidR="00BE1791">
              <w:t>ednostupňový motorový olej pre naftové motory nákladných a úžitkových vozidiel vyrobených pred rokom 1989, poskytuje stabilnú ochranu motora a znižuje spotrebu oleja aj v opotrebovaných motoroch.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BE1791" w:rsidRPr="00BE1791" w:rsidRDefault="00BE1791" w:rsidP="00BE17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E179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Nízko a stredne zaťažené nákladné autá, autobusy, poľnohospodárske a cestné stroje, ktoré nemajú </w:t>
            </w:r>
            <w:proofErr w:type="spellStart"/>
            <w:r w:rsidRPr="00BE179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turbo</w:t>
            </w:r>
            <w:proofErr w:type="spellEnd"/>
          </w:p>
          <w:p w:rsidR="002179B6" w:rsidRPr="00BE1791" w:rsidRDefault="00BE1791" w:rsidP="00BE17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BE179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Staršie nepreplňované naftové motory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3"/>
              <w:gridCol w:w="5507"/>
            </w:tblGrid>
            <w:tr w:rsidR="00BE1791" w:rsidRPr="00C728C1" w:rsidTr="00C728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1791" w:rsidRDefault="00BE1791">
                  <w:pPr>
                    <w:rPr>
                      <w:sz w:val="24"/>
                      <w:szCs w:val="24"/>
                    </w:rPr>
                  </w:pPr>
                  <w:r>
                    <w:t>Vysoká prevádzková viskozita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791" w:rsidRDefault="00BE1791" w:rsidP="00BE179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Znižuje spotrebu oleja a zlepšuje vnútorné netesnosti motora</w:t>
                  </w:r>
                </w:p>
              </w:tc>
            </w:tr>
            <w:tr w:rsidR="00BE1791" w:rsidRPr="00C728C1" w:rsidTr="00C728C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1791" w:rsidRDefault="00BE1791">
                  <w:pPr>
                    <w:rPr>
                      <w:sz w:val="24"/>
                      <w:szCs w:val="24"/>
                    </w:rPr>
                  </w:pPr>
                  <w:r>
                    <w:t>Dobrá pevnosť mazacieho filmu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791" w:rsidRDefault="00BE1791" w:rsidP="00BE179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Stabilný mazací film s vysokou únosnosťou v silne opotrebovaných a starších motoroch</w:t>
                  </w:r>
                </w:p>
              </w:tc>
            </w:tr>
          </w:tbl>
          <w:p w:rsidR="00C728C1" w:rsidRPr="00CA3898" w:rsidRDefault="00C728C1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EC3EA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E179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0,892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E179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114,6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E179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11,6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E179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89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E179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-30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BE179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40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BE179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8,6</w:t>
                  </w:r>
                </w:p>
              </w:tc>
            </w:tr>
          </w:tbl>
          <w:p w:rsidR="002179B6" w:rsidRPr="00EC3EA0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EC3EA0">
        <w:trPr>
          <w:trHeight w:val="1000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CA3898" w:rsidRDefault="00BE1791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30</w:t>
            </w:r>
            <w:bookmarkStart w:id="0" w:name="_GoBack"/>
            <w:bookmarkEnd w:id="0"/>
          </w:p>
          <w:p w:rsidR="000B486B" w:rsidRPr="00EC3EA0" w:rsidRDefault="00BE1791" w:rsidP="000B486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API CC/SB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631722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5A" w:rsidRDefault="005C7A5A" w:rsidP="002179B6">
      <w:pPr>
        <w:spacing w:before="0" w:after="0" w:line="240" w:lineRule="auto"/>
      </w:pPr>
      <w:r>
        <w:separator/>
      </w:r>
    </w:p>
  </w:endnote>
  <w:endnote w:type="continuationSeparator" w:id="0">
    <w:p w:rsidR="005C7A5A" w:rsidRDefault="005C7A5A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1791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5A" w:rsidRDefault="005C7A5A" w:rsidP="002179B6">
      <w:pPr>
        <w:spacing w:before="0" w:after="0" w:line="240" w:lineRule="auto"/>
      </w:pPr>
      <w:r>
        <w:separator/>
      </w:r>
    </w:p>
  </w:footnote>
  <w:footnote w:type="continuationSeparator" w:id="0">
    <w:p w:rsidR="005C7A5A" w:rsidRDefault="005C7A5A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3503"/>
    <w:multiLevelType w:val="multilevel"/>
    <w:tmpl w:val="0AA0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747F8"/>
    <w:multiLevelType w:val="multilevel"/>
    <w:tmpl w:val="8AD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E6105"/>
    <w:multiLevelType w:val="multilevel"/>
    <w:tmpl w:val="768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15326D"/>
    <w:rsid w:val="001661FE"/>
    <w:rsid w:val="002179B6"/>
    <w:rsid w:val="00223119"/>
    <w:rsid w:val="00233269"/>
    <w:rsid w:val="002C6114"/>
    <w:rsid w:val="002E7F35"/>
    <w:rsid w:val="00306C22"/>
    <w:rsid w:val="00327E21"/>
    <w:rsid w:val="00581E39"/>
    <w:rsid w:val="005B1B77"/>
    <w:rsid w:val="005C7A5A"/>
    <w:rsid w:val="005C7B6C"/>
    <w:rsid w:val="005F7D4E"/>
    <w:rsid w:val="00631722"/>
    <w:rsid w:val="006559EA"/>
    <w:rsid w:val="006D7EAB"/>
    <w:rsid w:val="007375B5"/>
    <w:rsid w:val="00780614"/>
    <w:rsid w:val="00784C94"/>
    <w:rsid w:val="008407C0"/>
    <w:rsid w:val="008A48CD"/>
    <w:rsid w:val="00964E51"/>
    <w:rsid w:val="00986B26"/>
    <w:rsid w:val="009C4A3A"/>
    <w:rsid w:val="00A35AE2"/>
    <w:rsid w:val="00B24BA1"/>
    <w:rsid w:val="00B70311"/>
    <w:rsid w:val="00BA0B2B"/>
    <w:rsid w:val="00BD2AC0"/>
    <w:rsid w:val="00BE1791"/>
    <w:rsid w:val="00C728C1"/>
    <w:rsid w:val="00CA3898"/>
    <w:rsid w:val="00D031CB"/>
    <w:rsid w:val="00EC3EA0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C5133"/>
    <w:rsid w:val="000D1AE6"/>
    <w:rsid w:val="00243FEF"/>
    <w:rsid w:val="004171D9"/>
    <w:rsid w:val="00687541"/>
    <w:rsid w:val="00AE7377"/>
    <w:rsid w:val="00CC37A6"/>
    <w:rsid w:val="00D0731B"/>
    <w:rsid w:val="00D238A2"/>
    <w:rsid w:val="00D96BD1"/>
    <w:rsid w:val="00DC19F2"/>
    <w:rsid w:val="00E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M6ADS II</dc:creator>
  <cp:lastModifiedBy>AUTEX-ZA</cp:lastModifiedBy>
  <cp:revision>3</cp:revision>
  <cp:lastPrinted>2019-03-12T13:42:00Z</cp:lastPrinted>
  <dcterms:created xsi:type="dcterms:W3CDTF">2022-03-24T09:47:00Z</dcterms:created>
  <dcterms:modified xsi:type="dcterms:W3CDTF">2022-03-24T10:29:00Z</dcterms:modified>
</cp:coreProperties>
</file>